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Hultsfred kommunfullmäktige</w:t>
      </w:r>
    </w:p>
    <w:p>
      <w:pPr>
        <w:pStyle w:val="Heading1"/>
      </w:pPr>
      <w:r>
        <w:t xml:space="preserve">Fler hyresrätter i centrala Hultsfred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Hultsfred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i Hultsfreds centrum. Endast 12 nya hyresrätter har byggts de senaste tre åren (Boverket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Hultsfred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ska verka för att minst 50 nya hyresrätter uppförs i centralorten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 till allmännyttan prioriteras för hyresbostäder.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aktörer sker under kommunal markkontroll.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bostadsförsörjningsplan uppdateras under 2026.</w:t>
      </w:r>
    </w:p>
    <w:p>
      <w:pPr>
        <w:spacing w:before="360"/>
      </w:pPr>
    </w:p>
    <w:p>
      <w:r>
        <w:t xml:space="preserve">Hultsfred,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Hultsfred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2026-07-14T00:13:55.948Z</dcterms:created>
  <dcterms:modified xsi:type="dcterms:W3CDTF">2026-07-14T00:13:55.948Z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